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79" w:rsidRPr="00A66024" w:rsidRDefault="00F35E79" w:rsidP="00F35E79">
      <w:pPr>
        <w:jc w:val="center"/>
        <w:rPr>
          <w:b/>
          <w:bCs/>
          <w:sz w:val="28"/>
          <w:szCs w:val="28"/>
        </w:rPr>
      </w:pPr>
      <w:r w:rsidRPr="00A66024">
        <w:rPr>
          <w:b/>
          <w:bCs/>
          <w:sz w:val="28"/>
          <w:szCs w:val="28"/>
        </w:rPr>
        <w:t>Пояснительная записка</w:t>
      </w:r>
    </w:p>
    <w:p w:rsidR="00F35E79" w:rsidRPr="00A66024" w:rsidRDefault="00F35E79" w:rsidP="000C70F4">
      <w:pPr>
        <w:jc w:val="center"/>
        <w:rPr>
          <w:b/>
          <w:bCs/>
          <w:color w:val="000000"/>
          <w:sz w:val="28"/>
          <w:szCs w:val="28"/>
        </w:rPr>
      </w:pPr>
      <w:r w:rsidRPr="00A66024">
        <w:rPr>
          <w:b/>
          <w:bCs/>
          <w:sz w:val="28"/>
          <w:szCs w:val="28"/>
        </w:rPr>
        <w:t>к проекту</w:t>
      </w:r>
      <w:r w:rsidR="00B556B8" w:rsidRPr="00A66024">
        <w:rPr>
          <w:b/>
          <w:bCs/>
          <w:sz w:val="28"/>
          <w:szCs w:val="28"/>
        </w:rPr>
        <w:t xml:space="preserve"> </w:t>
      </w:r>
      <w:r w:rsidRPr="00A66024">
        <w:rPr>
          <w:b/>
          <w:bCs/>
          <w:color w:val="000000"/>
          <w:sz w:val="28"/>
          <w:szCs w:val="28"/>
        </w:rPr>
        <w:t xml:space="preserve">закона Удмуртской Республики </w:t>
      </w:r>
      <w:r w:rsidR="000C70F4" w:rsidRPr="00A66024">
        <w:rPr>
          <w:b/>
          <w:bCs/>
          <w:color w:val="000000"/>
          <w:sz w:val="28"/>
          <w:szCs w:val="28"/>
        </w:rPr>
        <w:t>«О внесении изменений в статью 3 Закона Удмуртской Республики «О порядке распределения разрешений на добычу охотничьих ресурсов между физическими лицами, осуществляющими охоту в общедоступных охотничьих угодьях в Удмуртской Республике»</w:t>
      </w:r>
    </w:p>
    <w:p w:rsidR="00F35E79" w:rsidRPr="00A66024" w:rsidRDefault="00F35E79" w:rsidP="00F35E79">
      <w:pPr>
        <w:jc w:val="center"/>
        <w:rPr>
          <w:b/>
          <w:bCs/>
          <w:color w:val="000000"/>
          <w:sz w:val="28"/>
          <w:szCs w:val="28"/>
        </w:rPr>
      </w:pPr>
    </w:p>
    <w:p w:rsidR="00F35E79" w:rsidRPr="00A66024" w:rsidRDefault="00F35E79" w:rsidP="00F35E79">
      <w:pPr>
        <w:jc w:val="right"/>
        <w:rPr>
          <w:sz w:val="28"/>
          <w:szCs w:val="28"/>
        </w:rPr>
      </w:pPr>
    </w:p>
    <w:p w:rsidR="005736F9" w:rsidRPr="00A66024" w:rsidRDefault="005736F9" w:rsidP="005736F9">
      <w:pPr>
        <w:ind w:firstLine="709"/>
        <w:contextualSpacing/>
        <w:jc w:val="both"/>
        <w:rPr>
          <w:bCs/>
          <w:sz w:val="28"/>
          <w:szCs w:val="28"/>
        </w:rPr>
      </w:pPr>
      <w:r w:rsidRPr="00A66024">
        <w:rPr>
          <w:bCs/>
          <w:sz w:val="28"/>
          <w:szCs w:val="28"/>
        </w:rPr>
        <w:t xml:space="preserve">В соответствие с частью 6 статьи 31 Федерального закона от 24 июля 2009 года № 209-ФЗ «Об охоте </w:t>
      </w:r>
      <w:proofErr w:type="gramStart"/>
      <w:r w:rsidRPr="00A66024">
        <w:rPr>
          <w:bCs/>
          <w:sz w:val="28"/>
          <w:szCs w:val="28"/>
        </w:rPr>
        <w:t>и</w:t>
      </w:r>
      <w:proofErr w:type="gramEnd"/>
      <w:r w:rsidRPr="00A66024">
        <w:rPr>
          <w:bCs/>
          <w:sz w:val="28"/>
          <w:szCs w:val="28"/>
        </w:rPr>
        <w:t xml:space="preserve"> о сохранении охотничьих ресурсов и о внесении изменений в отдельные законодательные акты Российской Федерации» (далее – Закон об охоте)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5736F9" w:rsidRPr="00A66024" w:rsidRDefault="005736F9" w:rsidP="005736F9">
      <w:pPr>
        <w:ind w:firstLine="709"/>
        <w:contextualSpacing/>
        <w:jc w:val="both"/>
        <w:rPr>
          <w:bCs/>
          <w:sz w:val="28"/>
          <w:szCs w:val="28"/>
        </w:rPr>
      </w:pPr>
      <w:r w:rsidRPr="00A66024">
        <w:rPr>
          <w:bCs/>
          <w:sz w:val="28"/>
          <w:szCs w:val="28"/>
        </w:rPr>
        <w:t xml:space="preserve">Частью 7 статьи 31 Закона об охоте определено, что 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 Приказом Минприроды России от 1 декабря 2017 года № 646 утверждены 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 (далее – Методические рекомендации). </w:t>
      </w:r>
    </w:p>
    <w:p w:rsidR="005736F9" w:rsidRPr="00A66024" w:rsidRDefault="005736F9" w:rsidP="005736F9">
      <w:pPr>
        <w:ind w:firstLine="709"/>
        <w:contextualSpacing/>
        <w:jc w:val="both"/>
        <w:rPr>
          <w:bCs/>
          <w:sz w:val="28"/>
          <w:szCs w:val="28"/>
        </w:rPr>
      </w:pPr>
      <w:r w:rsidRPr="00A66024">
        <w:rPr>
          <w:bCs/>
          <w:sz w:val="28"/>
          <w:szCs w:val="28"/>
        </w:rPr>
        <w:t xml:space="preserve">В соответствии с действующим законодательством в области охоты и сохранения охотничьих ресурсов для определения порядка распределения разрешений на добычу охотничьих ресурсов на территории Удмуртской Республики принят </w:t>
      </w:r>
      <w:r w:rsidRPr="00A66024">
        <w:rPr>
          <w:sz w:val="28"/>
          <w:szCs w:val="28"/>
        </w:rPr>
        <w:t>Закон Удмуртской Республики от 22 июня 2012 года № 31-РЗ «О порядке распределения разрешений на добычу охотничьих ресурсов между физическими лицами, осуществляющими охоту в общедоступных охотничьих угодьях в Удмуртской Республике» (далее – Закон Удмуртской Республики № 31-РЗ).</w:t>
      </w:r>
    </w:p>
    <w:p w:rsidR="005736F9" w:rsidRPr="00A66024" w:rsidRDefault="005736F9" w:rsidP="005736F9">
      <w:pPr>
        <w:ind w:firstLine="709"/>
        <w:contextualSpacing/>
        <w:jc w:val="both"/>
        <w:rPr>
          <w:sz w:val="28"/>
          <w:szCs w:val="28"/>
        </w:rPr>
      </w:pPr>
      <w:r w:rsidRPr="00A66024">
        <w:rPr>
          <w:sz w:val="28"/>
          <w:szCs w:val="28"/>
        </w:rPr>
        <w:t xml:space="preserve">Законом Удмуртской Республики № 31-РЗ  установлена очередность рассмотрения заявлений на выдачу разрешений на добычу охотничьих ресурсов, поданных несколькими заявителями в один день или поступивших по почте в один день, исходя из времени подачи заявлений или их поступления. </w:t>
      </w:r>
    </w:p>
    <w:p w:rsidR="005736F9" w:rsidRPr="00A66024" w:rsidRDefault="005736F9" w:rsidP="0079119E">
      <w:pPr>
        <w:ind w:firstLine="709"/>
        <w:contextualSpacing/>
        <w:jc w:val="both"/>
        <w:rPr>
          <w:bCs/>
          <w:sz w:val="28"/>
          <w:szCs w:val="28"/>
        </w:rPr>
      </w:pPr>
      <w:r w:rsidRPr="00A66024">
        <w:rPr>
          <w:bCs/>
          <w:sz w:val="28"/>
          <w:szCs w:val="28"/>
        </w:rPr>
        <w:t xml:space="preserve">Проект закона «О внесении изменений в статью 3 Закона Удмуртской Республики «О порядке распределения разрешений на добычу охотничьих ресурсов между физическими лицами, осуществляющими охоту в общедоступных охотничьих угодьях в Удмуртской Республике» уточняет порядок фиксации времени подачи и поступления заявлений на выдачу разрешений, поступивших разными способами. </w:t>
      </w:r>
    </w:p>
    <w:p w:rsidR="0079119E" w:rsidRPr="00A66024" w:rsidRDefault="00C44421" w:rsidP="0079119E">
      <w:pPr>
        <w:autoSpaceDE w:val="0"/>
        <w:autoSpaceDN w:val="0"/>
        <w:adjustRightInd w:val="0"/>
        <w:ind w:firstLine="709"/>
        <w:jc w:val="both"/>
        <w:rPr>
          <w:sz w:val="28"/>
          <w:szCs w:val="28"/>
        </w:rPr>
      </w:pPr>
      <w:r w:rsidRPr="00A66024">
        <w:rPr>
          <w:sz w:val="28"/>
          <w:szCs w:val="28"/>
        </w:rPr>
        <w:t xml:space="preserve">Приказом Минприроды России от 29 августа 2014 года № 379 «Об утверждении порядка оформления и выдачи разрешений на добычу </w:t>
      </w:r>
      <w:r w:rsidRPr="00A66024">
        <w:rPr>
          <w:sz w:val="28"/>
          <w:szCs w:val="28"/>
        </w:rPr>
        <w:lastRenderedPageBreak/>
        <w:t xml:space="preserve">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(далее - приказ Минприроды России № 379) </w:t>
      </w:r>
      <w:r w:rsidR="00B8260C" w:rsidRPr="00A66024">
        <w:rPr>
          <w:sz w:val="28"/>
          <w:szCs w:val="28"/>
        </w:rPr>
        <w:t>установлен порядок оформления и выдачи разрешений на добычу охотничьих ресурсов</w:t>
      </w:r>
      <w:r w:rsidR="00445B17" w:rsidRPr="00A66024">
        <w:rPr>
          <w:sz w:val="28"/>
          <w:szCs w:val="28"/>
        </w:rPr>
        <w:t xml:space="preserve">, </w:t>
      </w:r>
      <w:r w:rsidRPr="00A66024">
        <w:rPr>
          <w:sz w:val="28"/>
          <w:szCs w:val="28"/>
        </w:rPr>
        <w:t>формы бланков разрешений на добыч</w:t>
      </w:r>
      <w:r w:rsidR="00B8260C" w:rsidRPr="00A66024">
        <w:rPr>
          <w:sz w:val="28"/>
          <w:szCs w:val="28"/>
        </w:rPr>
        <w:t>у</w:t>
      </w:r>
      <w:r w:rsidRPr="00A66024">
        <w:rPr>
          <w:sz w:val="28"/>
          <w:szCs w:val="28"/>
        </w:rPr>
        <w:t xml:space="preserve"> охотничьих ресурсов. </w:t>
      </w:r>
    </w:p>
    <w:p w:rsidR="0079119E" w:rsidRPr="00A66024" w:rsidRDefault="00C44421" w:rsidP="0079119E">
      <w:pPr>
        <w:autoSpaceDE w:val="0"/>
        <w:autoSpaceDN w:val="0"/>
        <w:adjustRightInd w:val="0"/>
        <w:ind w:firstLine="709"/>
        <w:jc w:val="both"/>
        <w:rPr>
          <w:rFonts w:eastAsiaTheme="minorHAnsi"/>
          <w:sz w:val="28"/>
          <w:szCs w:val="28"/>
          <w:lang w:eastAsia="en-US"/>
        </w:rPr>
      </w:pPr>
      <w:r w:rsidRPr="00A66024">
        <w:rPr>
          <w:sz w:val="28"/>
          <w:szCs w:val="28"/>
        </w:rPr>
        <w:t xml:space="preserve">В соответствии с </w:t>
      </w:r>
      <w:r w:rsidR="00445B17" w:rsidRPr="00A66024">
        <w:rPr>
          <w:sz w:val="28"/>
          <w:szCs w:val="28"/>
        </w:rPr>
        <w:t>пунктом 14 порядка оформления и выдачи разрешений на добычу охотничьих ресурсов</w:t>
      </w:r>
      <w:r w:rsidR="008509F8" w:rsidRPr="00A66024">
        <w:rPr>
          <w:sz w:val="28"/>
          <w:szCs w:val="28"/>
        </w:rPr>
        <w:t xml:space="preserve"> и формой бланков разрешений на добычу копытных животных</w:t>
      </w:r>
      <w:r w:rsidR="00445B17" w:rsidRPr="00A66024">
        <w:rPr>
          <w:sz w:val="28"/>
          <w:szCs w:val="28"/>
        </w:rPr>
        <w:t>, утвержденны</w:t>
      </w:r>
      <w:r w:rsidR="008509F8" w:rsidRPr="00A66024">
        <w:rPr>
          <w:sz w:val="28"/>
          <w:szCs w:val="28"/>
        </w:rPr>
        <w:t>х</w:t>
      </w:r>
      <w:r w:rsidR="00445B17" w:rsidRPr="00A66024">
        <w:rPr>
          <w:sz w:val="28"/>
          <w:szCs w:val="28"/>
        </w:rPr>
        <w:t xml:space="preserve"> приказ</w:t>
      </w:r>
      <w:r w:rsidR="008509F8" w:rsidRPr="00A66024">
        <w:rPr>
          <w:sz w:val="28"/>
          <w:szCs w:val="28"/>
        </w:rPr>
        <w:t>ом</w:t>
      </w:r>
      <w:r w:rsidR="00445B17" w:rsidRPr="00A66024">
        <w:rPr>
          <w:sz w:val="28"/>
          <w:szCs w:val="28"/>
        </w:rPr>
        <w:t xml:space="preserve"> Минприроды России № 379, </w:t>
      </w:r>
      <w:r w:rsidR="0079119E" w:rsidRPr="00A66024">
        <w:rPr>
          <w:rFonts w:eastAsiaTheme="minorHAnsi"/>
          <w:sz w:val="28"/>
          <w:szCs w:val="28"/>
          <w:lang w:eastAsia="en-US"/>
        </w:rPr>
        <w:t>разрешение на добычу копытных животных выдается на отлов или отстрел одной особи таких животных.</w:t>
      </w:r>
    </w:p>
    <w:p w:rsidR="0079119E" w:rsidRPr="00A66024" w:rsidRDefault="00367A58" w:rsidP="0079119E">
      <w:pPr>
        <w:autoSpaceDE w:val="0"/>
        <w:autoSpaceDN w:val="0"/>
        <w:adjustRightInd w:val="0"/>
        <w:ind w:firstLine="709"/>
        <w:jc w:val="both"/>
        <w:rPr>
          <w:rFonts w:eastAsiaTheme="minorHAnsi"/>
          <w:sz w:val="28"/>
          <w:szCs w:val="28"/>
          <w:lang w:eastAsia="en-US"/>
        </w:rPr>
      </w:pPr>
      <w:r w:rsidRPr="00A66024">
        <w:rPr>
          <w:rFonts w:eastAsiaTheme="minorHAnsi"/>
          <w:sz w:val="28"/>
          <w:szCs w:val="28"/>
          <w:lang w:eastAsia="en-US"/>
        </w:rPr>
        <w:t xml:space="preserve">Изменения, вносимые законопроектом в часть 2 статьи 3 </w:t>
      </w:r>
      <w:r w:rsidR="00911406" w:rsidRPr="00A66024">
        <w:rPr>
          <w:rFonts w:eastAsiaTheme="minorHAnsi"/>
          <w:sz w:val="28"/>
          <w:szCs w:val="28"/>
          <w:lang w:eastAsia="en-US"/>
        </w:rPr>
        <w:t>З</w:t>
      </w:r>
      <w:r w:rsidRPr="00A66024">
        <w:rPr>
          <w:rFonts w:eastAsiaTheme="minorHAnsi"/>
          <w:sz w:val="28"/>
          <w:szCs w:val="28"/>
          <w:lang w:eastAsia="en-US"/>
        </w:rPr>
        <w:t xml:space="preserve">акона Удмуртской Республики № 31-РЗ, предусматривают </w:t>
      </w:r>
      <w:r w:rsidR="00911406" w:rsidRPr="00A66024">
        <w:rPr>
          <w:rFonts w:eastAsiaTheme="minorHAnsi"/>
          <w:sz w:val="28"/>
          <w:szCs w:val="28"/>
          <w:lang w:eastAsia="en-US"/>
        </w:rPr>
        <w:t xml:space="preserve">возможность получения заявителями, не осуществляющим  </w:t>
      </w:r>
      <w:r w:rsidR="00911406" w:rsidRPr="00A66024">
        <w:rPr>
          <w:bCs/>
          <w:sz w:val="28"/>
          <w:szCs w:val="28"/>
        </w:rPr>
        <w:t xml:space="preserve">в течение года, предшествующего началу срока сезона охоты, добычу волков, регулирование численности лисицы и участвующим в мероприятиях по сохранению охотничьих ресурсов и среды их обитания на территории общедоступных охотничьих угодий, </w:t>
      </w:r>
      <w:r w:rsidR="00911406" w:rsidRPr="00A66024">
        <w:rPr>
          <w:rFonts w:eastAsiaTheme="minorHAnsi"/>
          <w:sz w:val="28"/>
          <w:szCs w:val="28"/>
          <w:lang w:eastAsia="en-US"/>
        </w:rPr>
        <w:t>не более одного разрешения</w:t>
      </w:r>
      <w:bookmarkStart w:id="0" w:name="_GoBack"/>
      <w:bookmarkEnd w:id="0"/>
      <w:r w:rsidR="00911406" w:rsidRPr="00A66024">
        <w:rPr>
          <w:rFonts w:eastAsiaTheme="minorHAnsi"/>
          <w:sz w:val="28"/>
          <w:szCs w:val="28"/>
          <w:lang w:eastAsia="en-US"/>
        </w:rPr>
        <w:t xml:space="preserve"> на добычу кабана.</w:t>
      </w:r>
    </w:p>
    <w:p w:rsidR="005736F9" w:rsidRPr="00A66024" w:rsidRDefault="005736F9" w:rsidP="005736F9">
      <w:pPr>
        <w:autoSpaceDE w:val="0"/>
        <w:autoSpaceDN w:val="0"/>
        <w:adjustRightInd w:val="0"/>
        <w:ind w:firstLine="709"/>
        <w:contextualSpacing/>
        <w:jc w:val="both"/>
        <w:rPr>
          <w:sz w:val="28"/>
          <w:szCs w:val="28"/>
        </w:rPr>
      </w:pPr>
      <w:r w:rsidRPr="00A66024">
        <w:rPr>
          <w:bCs/>
          <w:sz w:val="28"/>
          <w:szCs w:val="28"/>
        </w:rPr>
        <w:t>Согласно Методическим рекомендациям п</w:t>
      </w:r>
      <w:r w:rsidRPr="00A66024">
        <w:rPr>
          <w:sz w:val="28"/>
          <w:szCs w:val="28"/>
        </w:rPr>
        <w:t>ри распределении разрешений на добычу охотничьих ресурсов, добыча которых осуществляется в соответствии с лимитом их добычи, а также разрешений на добычу охотничьих ресурсов, в отношении которых установлены нормы добычи, и (</w:t>
      </w:r>
      <w:proofErr w:type="gramStart"/>
      <w:r w:rsidRPr="00A66024">
        <w:rPr>
          <w:sz w:val="28"/>
          <w:szCs w:val="28"/>
        </w:rPr>
        <w:t xml:space="preserve">или) </w:t>
      </w:r>
      <w:proofErr w:type="gramEnd"/>
      <w:r w:rsidRPr="00A66024">
        <w:rPr>
          <w:sz w:val="28"/>
          <w:szCs w:val="28"/>
        </w:rPr>
        <w:t>нормы пропускной способности общедоступных охотничьих угодий, рекомендуется учитывать участие физических лиц в мероприятиях по регулированию численности охотничьих ресурсов, сохранению охотничьих ресурсов и среды их обитания, а также участие физических лиц в мероприятиях по поддержанию и увеличению численности охотничьих ресурсов на территории общедоступных охотничьих угодий (далее – биотехнические мероприятия).</w:t>
      </w:r>
    </w:p>
    <w:p w:rsidR="005736F9" w:rsidRPr="00A66024" w:rsidRDefault="005736F9" w:rsidP="005736F9">
      <w:pPr>
        <w:ind w:firstLine="709"/>
        <w:contextualSpacing/>
        <w:jc w:val="both"/>
        <w:rPr>
          <w:bCs/>
          <w:sz w:val="28"/>
          <w:szCs w:val="28"/>
        </w:rPr>
      </w:pPr>
      <w:proofErr w:type="gramStart"/>
      <w:r w:rsidRPr="00A66024">
        <w:rPr>
          <w:bCs/>
          <w:sz w:val="28"/>
          <w:szCs w:val="28"/>
        </w:rPr>
        <w:t>Законопроектом предусматривается увеличение количества выдаваемых разрешений на добычу охотничьих ресурсов физическим лицам, осуществляющим в течение года, предшествующего началу срока сезона охоты, добычу волков, регулирование численности лисицы и участвующим в мероприятиях по сохранению охотничьих ресурсов и среды их обитания на территории общедоступных охотничьих угодий, что в свою очередь позволит привлечь физических лиц к выполнению таких мероприятий на территории общедоступных охотничьих угодий</w:t>
      </w:r>
      <w:proofErr w:type="gramEnd"/>
      <w:r w:rsidRPr="00A66024">
        <w:rPr>
          <w:bCs/>
          <w:sz w:val="28"/>
          <w:szCs w:val="28"/>
        </w:rPr>
        <w:t xml:space="preserve"> и снизить затраты Минприроды УР на их организацию. </w:t>
      </w:r>
    </w:p>
    <w:p w:rsidR="005736F9" w:rsidRPr="00A66024" w:rsidRDefault="005736F9" w:rsidP="005736F9">
      <w:pPr>
        <w:ind w:firstLine="709"/>
        <w:contextualSpacing/>
        <w:jc w:val="both"/>
        <w:rPr>
          <w:bCs/>
          <w:sz w:val="28"/>
          <w:szCs w:val="28"/>
        </w:rPr>
      </w:pPr>
      <w:proofErr w:type="gramStart"/>
      <w:r w:rsidRPr="00A66024">
        <w:rPr>
          <w:bCs/>
          <w:sz w:val="28"/>
          <w:szCs w:val="28"/>
        </w:rPr>
        <w:t xml:space="preserve">В настоящее время Законом Удмуртской Республики № 31-РЗ установлено, что физическим лицам, осуществляющим в течение года, предшествующего началу срока сезона охоты, добычу волков, регулирование численности лисицы и участвующим в мероприятиях по сохранению охотничьих ресурсов и среды их обитания на территории общедоступных охотничьих угодий, распределятся 50 % разрешений от установленной квоты </w:t>
      </w:r>
      <w:r w:rsidRPr="00A66024">
        <w:rPr>
          <w:bCs/>
          <w:sz w:val="28"/>
          <w:szCs w:val="28"/>
        </w:rPr>
        <w:lastRenderedPageBreak/>
        <w:t xml:space="preserve">добычи и нормы допустимой добычи кабана, а 50 % распределяется между иными заявителями.  </w:t>
      </w:r>
      <w:proofErr w:type="gramEnd"/>
    </w:p>
    <w:p w:rsidR="005736F9" w:rsidRPr="00A66024" w:rsidRDefault="005736F9" w:rsidP="005736F9">
      <w:pPr>
        <w:ind w:firstLine="709"/>
        <w:contextualSpacing/>
        <w:jc w:val="both"/>
        <w:rPr>
          <w:bCs/>
          <w:sz w:val="28"/>
          <w:szCs w:val="28"/>
        </w:rPr>
      </w:pPr>
      <w:r w:rsidRPr="00A66024">
        <w:rPr>
          <w:bCs/>
          <w:sz w:val="28"/>
          <w:szCs w:val="28"/>
        </w:rPr>
        <w:t xml:space="preserve">С учетом сложившейся практики установлено, что 50 % разрешений, предусмотренных лицам за добычу волков и регулирование численности лисиц, за выполнение мероприятий по сохранению охотничьих ресурсов, не покрывают фактического количества разрешений, необходимых для выдачи данной категории заявителей. Соответственно, увеличение  количества выдаваемых разрешений на добычу охотничьих ресурсов физическим лицам, осуществляющим добычу волков, регулирование численности лисицы и участвующим в мероприятиях по сохранению охотничьих ресурсов, позволит обеспечить предоставление разрешений данной категории, исходя из объемов выполняемых биотехнических мероприятий.  </w:t>
      </w:r>
    </w:p>
    <w:p w:rsidR="005736F9" w:rsidRPr="00A66024" w:rsidRDefault="005736F9" w:rsidP="005736F9">
      <w:pPr>
        <w:autoSpaceDE w:val="0"/>
        <w:autoSpaceDN w:val="0"/>
        <w:adjustRightInd w:val="0"/>
        <w:ind w:firstLine="709"/>
        <w:contextualSpacing/>
        <w:jc w:val="both"/>
        <w:rPr>
          <w:bCs/>
          <w:sz w:val="28"/>
          <w:szCs w:val="28"/>
        </w:rPr>
      </w:pPr>
      <w:r w:rsidRPr="00A66024">
        <w:rPr>
          <w:bCs/>
          <w:sz w:val="28"/>
          <w:szCs w:val="28"/>
        </w:rPr>
        <w:t>Вместе с тем, изменения вносимые законопроектом позволят исключить спорные ситуации при распределении разрешений в случае, если количество разрешений, подлежащих распределению между заявителями, осуществляющими добычу волков, регулирование численности лисицы и выполнение мероприятий по сохранению охотничьих ресурсов и среды их обитания, и иными заявителями – дробное число.</w:t>
      </w:r>
    </w:p>
    <w:p w:rsidR="005736F9" w:rsidRPr="00A66024" w:rsidRDefault="005736F9" w:rsidP="005736F9">
      <w:pPr>
        <w:autoSpaceDE w:val="0"/>
        <w:autoSpaceDN w:val="0"/>
        <w:adjustRightInd w:val="0"/>
        <w:ind w:firstLine="709"/>
        <w:contextualSpacing/>
        <w:jc w:val="both"/>
        <w:rPr>
          <w:sz w:val="28"/>
          <w:szCs w:val="28"/>
        </w:rPr>
      </w:pPr>
      <w:proofErr w:type="gramStart"/>
      <w:r w:rsidRPr="00A66024">
        <w:rPr>
          <w:bCs/>
          <w:sz w:val="28"/>
          <w:szCs w:val="28"/>
        </w:rPr>
        <w:t>Изменения, вносимые законопроектом в часть 7 статьи 3 Закона Удмуртской Республики № 31-РЗ предусматривают</w:t>
      </w:r>
      <w:proofErr w:type="gramEnd"/>
      <w:r w:rsidRPr="00A66024">
        <w:rPr>
          <w:bCs/>
          <w:sz w:val="28"/>
          <w:szCs w:val="28"/>
        </w:rPr>
        <w:t xml:space="preserve"> возможность получения заявителями, осуществляющими мероприятия по приобретению и выкладке кормов на подкормочную площадку для подкормки кабанов в зимний период, одновременно разрешений на добычу взрослых особей кабана и кабана в возрасте до 1 года. Действующая редакция Закона Удмуртской Республики № 31-РЗ предусматривает получение лицами, осуществляющими приобретение и выкладку кормов на подкормочную площадку для подкормки кабанов в зимний период, разрешений только на добычу взрослого кабана или только разрешений на добычу кабана возрастом до 1 года.</w:t>
      </w:r>
    </w:p>
    <w:p w:rsidR="005736F9" w:rsidRPr="00A66024" w:rsidRDefault="005736F9" w:rsidP="005736F9">
      <w:pPr>
        <w:ind w:firstLine="709"/>
        <w:contextualSpacing/>
        <w:jc w:val="both"/>
        <w:rPr>
          <w:color w:val="000000"/>
          <w:sz w:val="28"/>
          <w:szCs w:val="28"/>
        </w:rPr>
      </w:pPr>
      <w:r w:rsidRPr="00A66024">
        <w:rPr>
          <w:color w:val="000000"/>
          <w:sz w:val="28"/>
          <w:szCs w:val="28"/>
        </w:rPr>
        <w:t>Принятие проекта закона Удмуртской Республики не потребует дополнительного финансирования из средств бюджета Удмуртской Республики.</w:t>
      </w:r>
    </w:p>
    <w:p w:rsidR="00A711D1" w:rsidRPr="00A66024" w:rsidRDefault="00A711D1" w:rsidP="005736F9">
      <w:pPr>
        <w:ind w:firstLine="709"/>
        <w:contextualSpacing/>
        <w:jc w:val="both"/>
        <w:rPr>
          <w:color w:val="000000"/>
          <w:sz w:val="28"/>
          <w:szCs w:val="28"/>
        </w:rPr>
      </w:pPr>
    </w:p>
    <w:p w:rsidR="00A711D1" w:rsidRPr="00A66024" w:rsidRDefault="00A711D1" w:rsidP="005736F9">
      <w:pPr>
        <w:ind w:firstLine="709"/>
        <w:contextualSpacing/>
        <w:jc w:val="both"/>
        <w:rPr>
          <w:color w:val="000000"/>
          <w:sz w:val="28"/>
          <w:szCs w:val="28"/>
        </w:rPr>
      </w:pPr>
    </w:p>
    <w:p w:rsidR="00A711D1" w:rsidRPr="00A66024" w:rsidRDefault="00A711D1" w:rsidP="005736F9">
      <w:pPr>
        <w:ind w:firstLine="709"/>
        <w:contextualSpacing/>
        <w:jc w:val="both"/>
        <w:rPr>
          <w:color w:val="000000"/>
          <w:sz w:val="28"/>
          <w:szCs w:val="28"/>
        </w:rPr>
      </w:pPr>
    </w:p>
    <w:p w:rsidR="00A711D1" w:rsidRPr="00A66024" w:rsidRDefault="00A711D1" w:rsidP="00A711D1">
      <w:pPr>
        <w:tabs>
          <w:tab w:val="left" w:pos="0"/>
        </w:tabs>
        <w:jc w:val="both"/>
        <w:rPr>
          <w:sz w:val="28"/>
          <w:szCs w:val="28"/>
        </w:rPr>
      </w:pPr>
      <w:r w:rsidRPr="00A66024">
        <w:rPr>
          <w:sz w:val="28"/>
          <w:szCs w:val="28"/>
        </w:rPr>
        <w:t>Министр природных ресурсов</w:t>
      </w:r>
    </w:p>
    <w:p w:rsidR="00A711D1" w:rsidRPr="00A66024" w:rsidRDefault="00A711D1" w:rsidP="00A711D1">
      <w:pPr>
        <w:tabs>
          <w:tab w:val="left" w:pos="0"/>
        </w:tabs>
        <w:jc w:val="both"/>
        <w:rPr>
          <w:sz w:val="28"/>
          <w:szCs w:val="28"/>
        </w:rPr>
      </w:pPr>
      <w:r w:rsidRPr="00A66024">
        <w:rPr>
          <w:sz w:val="28"/>
          <w:szCs w:val="28"/>
        </w:rPr>
        <w:t>и охраны окружающей среды</w:t>
      </w:r>
    </w:p>
    <w:p w:rsidR="00A711D1" w:rsidRDefault="00A711D1" w:rsidP="00A711D1">
      <w:pPr>
        <w:tabs>
          <w:tab w:val="left" w:pos="0"/>
        </w:tabs>
        <w:jc w:val="both"/>
        <w:rPr>
          <w:sz w:val="28"/>
          <w:szCs w:val="28"/>
        </w:rPr>
      </w:pPr>
      <w:r w:rsidRPr="00A66024">
        <w:rPr>
          <w:sz w:val="28"/>
          <w:szCs w:val="28"/>
        </w:rPr>
        <w:t>Удмуртской Республики                                                                     Д.Н. Удалов</w:t>
      </w:r>
    </w:p>
    <w:sectPr w:rsidR="00A711D1" w:rsidSect="00F35E7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64" w:rsidRDefault="00215164" w:rsidP="00F35E79">
      <w:r>
        <w:separator/>
      </w:r>
    </w:p>
  </w:endnote>
  <w:endnote w:type="continuationSeparator" w:id="0">
    <w:p w:rsidR="00215164" w:rsidRDefault="00215164" w:rsidP="00F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64" w:rsidRDefault="00215164" w:rsidP="00F35E79">
      <w:r>
        <w:separator/>
      </w:r>
    </w:p>
  </w:footnote>
  <w:footnote w:type="continuationSeparator" w:id="0">
    <w:p w:rsidR="00215164" w:rsidRDefault="00215164" w:rsidP="00F3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7352"/>
      <w:docPartObj>
        <w:docPartGallery w:val="Page Numbers (Top of Page)"/>
        <w:docPartUnique/>
      </w:docPartObj>
    </w:sdtPr>
    <w:sdtEndPr/>
    <w:sdtContent>
      <w:p w:rsidR="00F35E79" w:rsidRDefault="003D1C97">
        <w:pPr>
          <w:pStyle w:val="a3"/>
          <w:jc w:val="center"/>
        </w:pPr>
        <w:r>
          <w:fldChar w:fldCharType="begin"/>
        </w:r>
        <w:r>
          <w:instrText xml:space="preserve"> PAGE   \* MERGEFORMAT </w:instrText>
        </w:r>
        <w:r>
          <w:fldChar w:fldCharType="separate"/>
        </w:r>
        <w:r w:rsidR="00D32B9A">
          <w:rPr>
            <w:noProof/>
          </w:rPr>
          <w:t>2</w:t>
        </w:r>
        <w:r>
          <w:rPr>
            <w:noProof/>
          </w:rPr>
          <w:fldChar w:fldCharType="end"/>
        </w:r>
      </w:p>
    </w:sdtContent>
  </w:sdt>
  <w:p w:rsidR="00F35E79" w:rsidRDefault="00F35E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5E79"/>
    <w:rsid w:val="00002C54"/>
    <w:rsid w:val="000354E6"/>
    <w:rsid w:val="000934A5"/>
    <w:rsid w:val="000C70F4"/>
    <w:rsid w:val="001003DF"/>
    <w:rsid w:val="00121E60"/>
    <w:rsid w:val="00146944"/>
    <w:rsid w:val="00195A4D"/>
    <w:rsid w:val="00215164"/>
    <w:rsid w:val="00283F01"/>
    <w:rsid w:val="00367A58"/>
    <w:rsid w:val="003D1C97"/>
    <w:rsid w:val="003D59E4"/>
    <w:rsid w:val="004337F9"/>
    <w:rsid w:val="00445B17"/>
    <w:rsid w:val="004C41CD"/>
    <w:rsid w:val="005728E3"/>
    <w:rsid w:val="005736F9"/>
    <w:rsid w:val="0079119E"/>
    <w:rsid w:val="007C3B9C"/>
    <w:rsid w:val="00830641"/>
    <w:rsid w:val="008509F8"/>
    <w:rsid w:val="00867080"/>
    <w:rsid w:val="00911406"/>
    <w:rsid w:val="00991AA8"/>
    <w:rsid w:val="00A1197C"/>
    <w:rsid w:val="00A373D5"/>
    <w:rsid w:val="00A66024"/>
    <w:rsid w:val="00A711D1"/>
    <w:rsid w:val="00B215A3"/>
    <w:rsid w:val="00B556B8"/>
    <w:rsid w:val="00B56B07"/>
    <w:rsid w:val="00B8260C"/>
    <w:rsid w:val="00C033A0"/>
    <w:rsid w:val="00C44421"/>
    <w:rsid w:val="00CB33B4"/>
    <w:rsid w:val="00CC3539"/>
    <w:rsid w:val="00D32B9A"/>
    <w:rsid w:val="00DB06EF"/>
    <w:rsid w:val="00E86071"/>
    <w:rsid w:val="00E93282"/>
    <w:rsid w:val="00EE63AD"/>
    <w:rsid w:val="00F35E79"/>
    <w:rsid w:val="00F45946"/>
    <w:rsid w:val="00F5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79"/>
    <w:pPr>
      <w:tabs>
        <w:tab w:val="center" w:pos="4677"/>
        <w:tab w:val="right" w:pos="9355"/>
      </w:tabs>
    </w:pPr>
  </w:style>
  <w:style w:type="character" w:customStyle="1" w:styleId="a4">
    <w:name w:val="Верхний колонтитул Знак"/>
    <w:basedOn w:val="a0"/>
    <w:link w:val="a3"/>
    <w:uiPriority w:val="99"/>
    <w:rsid w:val="00F35E7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35E79"/>
    <w:pPr>
      <w:tabs>
        <w:tab w:val="center" w:pos="4677"/>
        <w:tab w:val="right" w:pos="9355"/>
      </w:tabs>
    </w:pPr>
  </w:style>
  <w:style w:type="character" w:customStyle="1" w:styleId="a6">
    <w:name w:val="Нижний колонтитул Знак"/>
    <w:basedOn w:val="a0"/>
    <w:link w:val="a5"/>
    <w:uiPriority w:val="99"/>
    <w:semiHidden/>
    <w:rsid w:val="00F35E79"/>
    <w:rPr>
      <w:rFonts w:ascii="Times New Roman" w:eastAsia="Times New Roman" w:hAnsi="Times New Roman" w:cs="Times New Roman"/>
      <w:sz w:val="24"/>
      <w:szCs w:val="24"/>
      <w:lang w:eastAsia="ru-RU"/>
    </w:rPr>
  </w:style>
  <w:style w:type="paragraph" w:customStyle="1" w:styleId="ConsPlusNormal">
    <w:name w:val="ConsPlusNormal"/>
    <w:rsid w:val="007C3B9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7C3B9C"/>
    <w:pPr>
      <w:spacing w:before="100" w:beforeAutospacing="1" w:after="100" w:afterAutospacing="1"/>
    </w:pPr>
  </w:style>
  <w:style w:type="paragraph" w:styleId="a7">
    <w:name w:val="Balloon Text"/>
    <w:basedOn w:val="a"/>
    <w:link w:val="a8"/>
    <w:uiPriority w:val="99"/>
    <w:semiHidden/>
    <w:unhideWhenUsed/>
    <w:rsid w:val="000C70F4"/>
    <w:rPr>
      <w:rFonts w:ascii="Tahoma" w:hAnsi="Tahoma" w:cs="Tahoma"/>
      <w:sz w:val="16"/>
      <w:szCs w:val="16"/>
    </w:rPr>
  </w:style>
  <w:style w:type="character" w:customStyle="1" w:styleId="a8">
    <w:name w:val="Текст выноски Знак"/>
    <w:basedOn w:val="a0"/>
    <w:link w:val="a7"/>
    <w:uiPriority w:val="99"/>
    <w:semiHidden/>
    <w:rsid w:val="000C70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1447">
      <w:bodyDiv w:val="1"/>
      <w:marLeft w:val="0"/>
      <w:marRight w:val="0"/>
      <w:marTop w:val="0"/>
      <w:marBottom w:val="0"/>
      <w:divBdr>
        <w:top w:val="none" w:sz="0" w:space="0" w:color="auto"/>
        <w:left w:val="none" w:sz="0" w:space="0" w:color="auto"/>
        <w:bottom w:val="none" w:sz="0" w:space="0" w:color="auto"/>
        <w:right w:val="none" w:sz="0" w:space="0" w:color="auto"/>
      </w:divBdr>
    </w:div>
    <w:div w:id="4622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SkachkovAN</dc:creator>
  <cp:lastModifiedBy>Кайшев Вадим Валерьевич</cp:lastModifiedBy>
  <cp:revision>3</cp:revision>
  <cp:lastPrinted>2021-05-11T11:14:00Z</cp:lastPrinted>
  <dcterms:created xsi:type="dcterms:W3CDTF">2021-05-11T11:40:00Z</dcterms:created>
  <dcterms:modified xsi:type="dcterms:W3CDTF">2021-05-11T11:48:00Z</dcterms:modified>
</cp:coreProperties>
</file>